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“УТВЕРЖДАЮ”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Главный врач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ООО «Профистиль»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Добровольская Э.Ю.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___________ 2026</w:t>
      </w:r>
    </w:p>
    <w:p>
      <w:pPr>
        <w:spacing w:before="0" w:after="160"/>
      </w:pPr>
      <w:r>
        <w:rPr>
          <w:rFonts w:ascii="Times New Roman" w:hAnsi="Times New Roman"/>
          <w:b w:val="0"/>
          <w:sz w:val="24"/>
        </w:rPr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6"/>
        </w:rPr>
        <w:t>Порядки оказания медицинской помощи, стандарты медицинской помощи и клинические рекомендации по профилю деятельности клиники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ООО «Профистиль» оказывает первичную доврачебную медико-санитарную помощь по рентгенологии и сестринскому делу и первичную специализированную медико-санитарную помощь по ортодонтии, стоматологии детской, ортопедической, терапевтической и хирургической. Ниже приведены нормативные акты, применяемые по этим направлениям.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Порядки оказания медицинской помощи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Приказ Министерства здравоохранения Российской Федерации от 31.07.2020 № 786н «Об утверждении Порядка оказания медицинской помощи взрослому населению при стоматологических заболеваниях».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Приказ Министерства здравоохранения Российской Федерации от 13.11.2012 № 910н «Об утверждении Порядка оказания медицинской помощи детям со стоматологическими заболеваниями».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Приказ Министерства здравоохранения Российской Федерации от 09.06.2020 № 560н «Об утверждении Правил проведения рентгенологических исследований».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Стандарты медицинской помощи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Стандарты медицинской помощи по профилю «стоматология» публикуются на Официальном интернет-портале правовой информации pravo.gov.ru. С действующими редакциями можно ознакомиться по адресу: publication.pravo.gov.ru.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Клинические рекомендации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Клинические рекомендации, с учётом которых оказываются медицинские услуги, размещены в рубрикаторе Министерства здравоохранения Российской Федерации: cr.minzdrav.gov.ru. По профилю клиники применяются рекомендации по кариесу зубов, болезням пульпы и периапикальных тканей, болезням пародонта, полной и частичной потере зубов, аномалиям зубочелюстной системы.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Ссылки на портал правовой информации и рубрикатор клинических рекомендаций размещены на сайте клиники в разделе «Правовая информация» и на информационном стенде.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